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1440"/>
        <w:jc w:val="center"/>
      </w:pPr>
      <w:r>
        <w:rPr>
          <w:rFonts w:ascii="Arial" w:cs="Arial" w:eastAsia="Arial" w:hAnsi="Arial"/>
          <w:b/>
          <w:bCs/>
          <w:color w:val="1F3864"/>
          <w:sz w:val="64"/>
          <w:szCs w:val="64"/>
        </w:rPr>
        <w:t xml:space="preserve">DRE Analítica</w:t>
      </w:r>
    </w:p>
    <w:p>
      <w:pPr>
        <w:spacing w:after="160"/>
        <w:jc w:val="center"/>
      </w:pPr>
      <w:r>
        <w:rPr>
          <w:rFonts w:ascii="Arial" w:cs="Arial" w:eastAsia="Arial" w:hAnsi="Arial"/>
          <w:color w:val="2E75B6"/>
          <w:sz w:val="36"/>
          <w:szCs w:val="36"/>
        </w:rPr>
        <w:t xml:space="preserve">com Camada Semântica para Gestão Financeira</w:t>
      </w:r>
    </w:p>
    <w:p>
      <w:pPr>
        <w:spacing w:after="120"/>
        <w:jc w:val="center"/>
      </w:pPr>
      <w:r>
        <w:rPr>
          <w:rFonts w:ascii="Arial" w:cs="Arial" w:eastAsia="Arial" w:hAnsi="Arial"/>
          <w:i/>
          <w:iCs/>
          <w:color w:val="666666"/>
          <w:sz w:val="26"/>
          <w:szCs w:val="26"/>
        </w:rPr>
        <w:t xml:space="preserve">Documentação Técnica do Projeto</w:t>
      </w:r>
    </w:p>
    <w:p>
      <w:pPr>
        <w:spacing w:after="120"/>
        <w:jc w:val="center"/>
      </w:pPr>
      <w:r>
        <w:rPr>
          <w:rFonts w:ascii="Arial" w:cs="Arial" w:eastAsia="Arial" w:hAnsi="Arial"/>
          <w:color w:val="CCCCCC"/>
          <w:sz w:val="18"/>
          <w:szCs w:val="18"/>
        </w:rPr>
        <w:t xml:space="preserve">─────────────────────────────────────────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Campo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Detalhe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Empresa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TechMart Comércio Eletrônico S.A. (empresa fictícia)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Setor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Varejo omnichannel — Loja Física + E-commerce + Marketplace + B2B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Autor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Christian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Ferramenta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Power BI (Import Mode) + DAX + Microsoft Fabric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Stack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Power BI · DAX · SQL · Microsoft Fabric Lakehouse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Período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Jan/2023 – Dez/2024 (24 meses)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Versão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1.0 — Portfólio</w:t>
            </w:r>
          </w:p>
        </w:tc>
      </w:tr>
    </w:tbl>
    <w:p>
      <w:pPr>
        <w:spacing w:after="1800"/>
      </w:pPr>
      <w:r>
        <w:t xml:space="preserve"/>
      </w:r>
    </w:p>
    <w:p>
      <w:pPr>
        <w:pStyle w:val="Heading1"/>
        <w:pBdr>
          <w:bottom w:val="single" w:color="2E75B6" w:sz="6" w:space="4"/>
        </w:pBdr>
        <w:spacing w:after="180" w:before="40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1. Sumário Executivo</w:t>
      </w:r>
    </w:p>
    <w:p>
      <w:pPr>
        <w:spacing w:after="10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Este projeto implementa uma DRE gerencial analítica com camada semântica completa no Power BI. A solução conecta dados do ERP (Realizado), do sistema de Budget (Orçamento/Forecast) e de ajustes manuais com rastreabilidade para auditoria interna.</w:t>
      </w:r>
    </w:p>
    <w:p>
      <w:pPr>
        <w:spacing w:after="8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O modelo de dados adota arquitetura estrela (star schema), garantindo performance otimizada, facilidade de manutenção e escalabilidade. A camada semântica expõe as métricas financeiras por meio de medidas DAX avançadas, incluindo inteligência de tempo (YTD, YoY, MoM), variação vs. orçamento e análise de rastreabilidade de ajustes manuais.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🎯 Objetivos do Projeto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1. Estruturar uma DRE gerencial multicenário (Realizado vs. Orçamento vs. Forecast) no Power BI.
2. Implementar modelo estrela com 5 dimensões e 1 tabela fato, seguindo as melhores práticas de modelagem dimensional.
3. Criar camada semântica com +30 medidas DAX, cobrindo P&amp;L, Time Intelligence e auditoria.
4. Garantir rastreabilidade de ajustes manuais para conformidade com auditoria interna.</w:t>
            </w:r>
          </w:p>
        </w:tc>
      </w:tr>
    </w:tbl>
    <w:p>
      <w:pPr>
        <w:spacing w:after="8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4"/>
        </w:pBdr>
        <w:spacing w:after="180" w:before="40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2. Arquitetura da Solução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2.1 Visão Geral</w:t>
      </w:r>
    </w:p>
    <w:p>
      <w:pPr>
        <w:spacing w:after="10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A solução é organizada em três camadas lógicas, seguindo os princípios de uma arquitetura de dados moderna:</w:t>
      </w:r>
    </w:p>
    <w:p>
      <w:pPr>
        <w:spacing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400"/>
        <w:gridCol w:w="496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Camada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Componente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Responsabilidade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Ingestão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ERP SAP / Budget System / Excel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Fontes de dados — Realizado, Orçamento, Ajustes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Armazenamento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Microsoft Fabric Lakehouse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Data lake centralizado com tabelas Delta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Transformação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Power Query (M)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Limpeza, tipagem, padronização e carga das dimensões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Semântica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Power BI Dataset + DAX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Medidas, KPIs, inteligência de tempo, what-if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Visualização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Power BI Reports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Dashboards, DRE interativa, análise por canal/centro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2.2 Fluxo de Dados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500"/>
        <w:gridCol w:w="2500"/>
        <w:gridCol w:w="2700"/>
      </w:tblGrid>
      <w:tr>
        <w:trPr>
          <w:tblHeader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Etapa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Para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Frequência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1. Extract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ERP SAP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Fabric Lakehouse (Bronze)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Diária (ETL 06h)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2. Extract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Budget System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Fabric Lakehouse (Bronze)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Mensal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3. Extract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Excel Ajustes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Fabric Lakehouse (Bronze)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Sob demanda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4. Transform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Lakehouse Bronze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Lakehouse Silver (tabelas limpas)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Diária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5. Load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Lakehouse Silver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Power BI Dataset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Diária (refresh 07h)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6. Serve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Power BI Dataset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Reports e Dashboards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Tempo real (cache)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2.3 Decisões Arquiteturais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Import Mode vs. DirectQuery: Import Mode escolhido pela performance superior em análises históricas (2 anos). DirectQuery seria considerado apenas para dados em tempo real (&lt; 1h de latência).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Modelo estrela (não floco de neve): dimensional simples garante melhor desempenho nas consultas DAX e facilita a manutenção.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Tabela de datas dedicada (dCalendario): obrigatório para habilitar todas as funções de Time Intelligence do DAX (DATESYTD, SAMEPERIODLASTYEAR, etc.).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Granularidade mensal na fLancamentos: alinhada ao ciclo de fechamento contábil. Ajustes manuais são lançados no mesmo nível.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Cenário como dimensão (dCenario): permite comparação nativa de cenários com CALCULATE sem duplicar tabelas fato.</w:t>
      </w:r>
    </w:p>
    <w:p>
      <w:pPr>
        <w:spacing w:after="8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4"/>
        </w:pBdr>
        <w:spacing w:after="180" w:before="40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3. Modelo de Dados — Estrela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3.1 Diagrama de Relacionamentos</w:t>
      </w:r>
    </w:p>
    <w:p>
      <w:pPr>
        <w:spacing w:after="10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Todos os relacionamentos são N:1 da fLancamentos para as respectivas dimensões, com filtragem unidirecional (single direction), exceto quando bidirecionalidade é necessária para medidas de análise cruzada.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📐 Star Schema — TechMart DRE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fLancamentos
  ├─ [id_data]    ──▶  dCalendario [id_data]
  ├─ [id_conta]   ──▶  dConta [id_conta]
  ├─ [id_centro]  ──▶  dCentro [id_centro]
  ├─ [id_cenario] ──▶  dCenario [id_cenario]
  └─ [id_canal]   ──▶  dCanal [id_canal]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3.2 Tabela Fato — fLancamentos</w:t>
      </w:r>
    </w:p>
    <w:p>
      <w:pPr>
        <w:spacing w:after="10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Tabela central do modelo. Cada linha representa um lançamento financeiro mensal (agregado do ERP) para uma combinação única de data, conta, centro de custo, cenário e canal.</w:t>
      </w:r>
    </w:p>
    <w:p>
      <w:pPr>
        <w:spacing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3200"/>
        <w:gridCol w:w="200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Coluna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Tipo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Descrição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Exemplo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id_lancamento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Integer (PK)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Chave surrogate auto-incremental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1, 2, 3, ...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id_data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Integer (FK)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Chave para dCalendario (YYYYMMDD)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20240101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id_conta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Integer (FK)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Chave para dConta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3 (Vendas E-commerce)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id_centro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Integer (FK)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Chave para dCentro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2 (Marketing Digital)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id_cenario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Integer (FK)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Chave para dCenario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1 (Realizado)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id_canal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Integer (FK)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Chave para dCanal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2 (E-commerce Próprio)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valor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Decimal(18,2)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Valor em R$ do lançamento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4.250.000,00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Volume de dados: ~1.100 linhas para o período 2023-2024 (granularidade mensal). Em produção com granularidade diária, estima-se ~25.000 linhas/ano.</w:t>
      </w:r>
    </w:p>
    <w:p>
      <w:pPr>
        <w:spacing w:after="8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3.3 Dimensões</w:t>
      </w:r>
    </w:p>
    <w:p>
      <w:pPr>
        <w:pStyle w:val="Heading3"/>
        <w:spacing w:after="80" w:before="180"/>
      </w:pPr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dCalendario — Calendário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800"/>
        <w:gridCol w:w="516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Coluna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Tipo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Descrição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id_data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Integer (PK)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YYYYMMDD — chave de relacionamento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data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Date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Data do primeiro dia do mês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ano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Integer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Ano (2023, 2024)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trimestre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Text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T1, T2, T3, T4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mes_num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Integer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Número do mês (1–12)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mes_nome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Text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Nome do mês em português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semestre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Text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S1, S2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ano_mes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Text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YYYY-MM (para ordenação)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ordem_cronologica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Integer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Sequência para ordenação visual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IMPORTANTE: Marcar como 'Tabela de Datas' no Power BI (botão direito na tabela &gt; Marcar como Tabela de Datas &gt; selecionar coluna 'data'). Requisito obrigatório para as funções de Time Intelligence.</w:t>
      </w:r>
    </w:p>
    <w:p>
      <w:pPr>
        <w:spacing w:after="80"/>
      </w:pPr>
      <w:r>
        <w:t xml:space="preserve"/>
      </w:r>
    </w:p>
    <w:p>
      <w:pPr>
        <w:pStyle w:val="Heading3"/>
        <w:spacing w:after="80" w:before="180"/>
      </w:pPr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dConta — Plano de Contas Gerencial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Coluna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Descrição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id_conta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PK — chave surrogate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cod_conta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Código estruturado (ex: REC.EC, CMV.MERC)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nome_conta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Nome completo da conta para exibição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grupo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Grupo DRE: Receita, Deduções, CMV, Despesas Op., D&amp;A, Resultado Fin., IR/CSLL, Subtotal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subgrupo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Subagrupamento para drill-down (ex: Canal Digital, Logística)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natureza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 (Débito) ou C (Crédito) — para validação contábil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nivel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1 = conta-pai/grupo | 2 = conta-folha (lançamentos)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ordem_exibicao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Sequência de exibição na DRE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sinal_dre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1 ou -1 — multiplica o valor para exibição correta na DRE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eh_subtotal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0 ou 1 — indica linhas de subtotal calculadas por DAX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As contas com nivel = 1 e eh_subtotal = 1 (Receita Líquida, Lucro Bruto, EBITDA, EBIT, LAIR, Lucro Líquido) não recebem lançamentos na fLancamentos — são calculadas por medidas DAX.</w:t>
      </w:r>
    </w:p>
    <w:p>
      <w:pPr>
        <w:spacing w:after="80"/>
      </w:pPr>
      <w:r>
        <w:t xml:space="preserve"/>
      </w:r>
    </w:p>
    <w:p>
      <w:pPr>
        <w:pStyle w:val="Heading3"/>
        <w:spacing w:after="80" w:before="180"/>
      </w:pPr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dCenario — Cenários Financeiros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000"/>
        <w:gridCol w:w="1760"/>
        <w:gridCol w:w="260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Cenário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Fonte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Tipo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Uso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Realizado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ERP SAP (automatizado)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Real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Base da DRE gerencial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Orçamento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Budget System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Planejado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Comparativo — aprovado pelo Board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Forecast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Budget System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Planejado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Revisão trimestral do Budget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Ajuste Manual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Excel (aprovação CFO)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Ajuste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Reclassificações e acertos contábeis</w:t>
            </w:r>
          </w:p>
        </w:tc>
      </w:tr>
    </w:tbl>
    <w:p>
      <w:pPr>
        <w:spacing w:after="8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4"/>
        </w:pBdr>
        <w:spacing w:after="180" w:before="40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4. Camada Semântica — DAX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4.1 Organização das Medidas</w:t>
      </w:r>
    </w:p>
    <w:p>
      <w:pPr>
        <w:spacing w:after="10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As medidas são organizadas em 7 grupos (pastas de exibição no Power BI):</w:t>
      </w:r>
    </w:p>
    <w:p>
      <w:pPr>
        <w:spacing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00"/>
        <w:gridCol w:w="47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Pasta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Qtd. Medidas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Descrição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_Base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5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Medidas de agregação por cenário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_DRE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15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P&amp;L completo linha a linha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_TimeIntelligence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8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YTD, YoY, MoM, LY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_Budget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6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Variação vs Orçamento e Forecast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_Auditoria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5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Rastreabilidade de ajustes manuais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_WhatIf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4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Parâmetros de simulação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_KPI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5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Indicadores dinâmicos e títulos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4.2 Padrões de Código DAX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Sempre usar DIVIDE() no lugar de '/' para evitar erro de divisão por zero.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Usar VAR para decompor medidas complexas em etapas legíveis e reutilizáveis.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Nunca hardcodar valores numéricos em medidas — referenciar a camada de dados.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Medidas de subtotal da DRE usam CALCULATE com filtros explícitos na dConta[grupo].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Time Intelligence exige que dCalendario esteja marcada como Tabela de Datas.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Parâmetros What-If criados com New Parameter &gt; Numeric Range no Power BI Desktop.</w:t>
      </w:r>
    </w:p>
    <w:p>
      <w:pPr>
        <w:spacing w:after="8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4.3 Medidas Críticas — Destaques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000"/>
        <w:gridCol w:w="396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Medida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Padrão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Por que é importante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[Realizado Ajustado]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[Realizado] + [Ajuste Manual]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Combina ERP + ajustes manuais = valor gerencial final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[DRE Linha]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SWITCH(SELECTEDVALUE...)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Medida universal para tabela matricial de DRE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[Variação YTD vs ORC %]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DIVIDE(YTD_Real - YTD_ORC, ABS(YTD_ORC))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Desvio acumulado no ano — KPI principal de gestão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[Flag Ajuste Relevante]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IF(ABS(pct) &gt; 5%, '⚠')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Sinaliza automaticamente ajustes que requerem aprovação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[Status ORC]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SWITCH(TRUE(), &gt;=100%,'✅',...)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Formatação condicional sem código VBA</w:t>
            </w:r>
          </w:p>
        </w:tc>
      </w:tr>
    </w:tbl>
    <w:p>
      <w:pPr>
        <w:spacing w:after="8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4"/>
        </w:pBdr>
        <w:spacing w:after="180" w:before="40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5. Rastreabilidade para Auditoria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5.1 Fluxo de Aprovação de Ajustes</w:t>
      </w:r>
    </w:p>
    <w:p>
      <w:pPr>
        <w:spacing w:after="10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Todo ajuste manual segue um processo documentado:</w:t>
      </w:r>
    </w:p>
    <w:p>
      <w:pPr>
        <w:spacing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2800"/>
        <w:gridCol w:w="3560"/>
      </w:tblGrid>
      <w:tr>
        <w:trPr>
          <w:tblHeader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Etapa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Responsável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Ação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Evidência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1. Identificação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Controller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Identifica necessidade de reclassificação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E-mail ou ticket Jira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2. Planilha de Ajuste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Analista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Preenche template Excel com justificativa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Arquivo Excel versionado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3. Aprovação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CFO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Valida e assina digitalmente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Assinatura no SharePoint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4. Carga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Engenharia de Dados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Importa o arquivo aprovado no Lakehouse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Log de ingestão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5. Auditoria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Power BI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Relatório de ajustes sinaliza automaticamente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Dashboard de Auditoria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5.2 Medidas de Rastreabilidade</w:t>
      </w:r>
    </w:p>
    <w:p>
      <w:pPr>
        <w:spacing w:after="10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O dataset expõe medidas específicas para auditoria: [Total Ajustes R$], [Contas com Ajuste], [Flag Ajuste Relevante] e [Ajuste Últimos 3M]. Um relatório dedicado exibe todos os ajustes do período com drill-through para o lançamento original do ERP.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🔒 Requisito de Auditoria Interna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Todo lançamento do cenário 'Ajuste Manual' deve: (1) ter id_cenario = 4, (2) incluir referência ao aprovador no campo observacao (não modelado neste demo por simplificação), e (3) ser detectável via a medida [Flag Ajuste Relevante] quando &gt; 5% do valor realizado da conta no período.</w:t>
            </w:r>
          </w:p>
        </w:tc>
      </w:tr>
    </w:tbl>
    <w:p>
      <w:pPr>
        <w:spacing w:after="8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4"/>
        </w:pBdr>
        <w:spacing w:after="180" w:before="40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6. Guia de Implementação no Power BI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Passo a Passo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400"/>
        <w:gridCol w:w="636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Ação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Detalhe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1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Importar o Excel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Abrir Power BI Desktop &gt; Obter Dados &gt; Excel &gt; selecionar DRE_ModeloEstrela_TechMart.xlsx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2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Carregar todas as abas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Selecionar: fLancamentos, dCalendario, dConta, dCentro, dCenario, dCanal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3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Criar relacionamentos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Na view Modelo, criar os 5 relacionamentos N:1 conforme diagrama da seção 3.1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4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Marcar Tabela de Datas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Clicar com botão direito em dCalendario &gt; Marcar como Tabela de Datas &gt; campo 'data'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5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Criar as medidas DAX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Criar uma tabela vazia chamada 'Medidas' e adicionar todas as medidas do Catálogo DAX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6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Organizar em pastas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Selecionar medidas e definir a 'Pasta de exibição': _Base, _DRE, etc.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7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Criar a DRE visual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Inserir visual Matriz: linhas = dConta[nome_conta] (ordenar por ordem_exibicao), valores = [DRE Linha]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8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Adicionar slicers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Slicers para dCalendario[ano], dCenario[nome_cenario], dCanal[nome_canal]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9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Criar parâmetros What-If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Modelagem &gt; Novo Parâmetro &gt; Fator Crescimento (0 a 30%, passo 1%)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10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Publicar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Arquivo &gt; Publicar no Power BI Service &gt; selecionar workspace do portfólio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1"/>
        <w:pBdr>
          <w:bottom w:val="single" w:color="2E75B6" w:sz="6" w:space="4"/>
        </w:pBdr>
        <w:spacing w:after="180" w:before="400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7. Glossário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Termo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Definição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Camada Semântica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Abstração entre os dados brutos e os usuários, expondo métricas de negócio via medidas DAX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Star Schema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Modelo de dados com uma tabela fato central e tabelas dimensão ao redor — padrão para BI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DRE Gerencial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Demonstração do Resultado adaptada para gestão (pode diferir da DRE fiscal/societária)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YTD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Year-To-Date — acumulado desde o início do ano até a data selecionada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YoY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Year-over-Year — comparação com o mesmo período do ano anterior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EBITDA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Earnings Before Interest, Taxes, Depreciation and Amortization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EBIT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Earnings Before Interest and Taxes (EBITDA menos Depreciação e Amortização)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LAIR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Lucro Antes do Imposto de Renda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CMV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Custo das Mercadorias Vendidas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Ajuste Manual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Lançamento inserido fora do ERP, sujeito a aprovação do CFO e rastreabilidade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Import Mode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Modo do Power BI onde os dados são carregados em memória — máxima performance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6"/>
                <w:szCs w:val="16"/>
              </w:rPr>
              <w:t xml:space="preserve">Time Intelligence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6"/>
                <w:szCs w:val="16"/>
              </w:rPr>
              <w:t xml:space="preserve">Conjunto de funções DAX para análise temporal (DATESYTD, SAMEPERIODLASTYEAR, etc.)</w:t>
            </w:r>
          </w:p>
        </w:tc>
      </w:tr>
    </w:tbl>
    <w:p>
      <w:pPr>
        <w:spacing w:after="80"/>
      </w:pPr>
      <w:r>
        <w:t xml:space="preserve"/>
      </w:r>
    </w:p>
    <w:p>
      <w:pPr>
        <w:spacing w:before="600"/>
        <w:jc w:val="center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Fim do Documento — Versão 1.0 | TechMart S.A. | Portfólio Christian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Página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| Power BI Portfolio | Christian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3" w:space="4"/>
      </w:pBdr>
    </w:pPr>
    <w:r>
      <w:rPr>
        <w:rFonts w:ascii="Arial" w:cs="Arial" w:eastAsia="Arial" w:hAnsi="Arial"/>
        <w:color w:val="666666"/>
        <w:sz w:val="16"/>
        <w:szCs w:val="16"/>
      </w:rPr>
      <w:t xml:space="preserve">DRE Analítica com Camada Semântica — Documentação Técnica</w:t>
    </w:r>
    <w:r>
      <w:rPr>
        <w:rFonts w:ascii="Arial" w:cs="Arial" w:eastAsia="Arial" w:hAnsi="Arial"/>
        <w:color w:val="666666"/>
        <w:sz w:val="16"/>
        <w:szCs w:val="16"/>
      </w:rPr>
      <w:t xml:space="preserve">		TechMart S.A.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40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2E75B6"/>
      <w:sz w:val="22"/>
      <w:szCs w:val="22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444444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2026-04-26T00:19:53.622Z</dcterms:created>
  <dcterms:modified xsi:type="dcterms:W3CDTF">2026-04-26T00:19:53.623Z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